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bookmarkStart w:id="0" w:name="_GoBack"/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Информация для проведения разъяснительной работы с населением по вопросам перехода на новую систему обращения  с отходами</w:t>
      </w:r>
    </w:p>
    <w:bookmarkEnd w:id="0"/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Термин «твердые коммунальные отходы» </w:t>
      </w:r>
      <w:proofErr w:type="gramStart"/>
      <w:r>
        <w:rPr>
          <w:rFonts w:ascii="Georgia" w:hAnsi="Georgia"/>
          <w:color w:val="444444"/>
          <w:sz w:val="21"/>
          <w:szCs w:val="21"/>
        </w:rPr>
        <w:t>введен еще 1 января 2015 года и пришел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на смену твердым бытовым отходам.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Твёрдые коммунальные отходы – это отходы, появляющиеся в жилых помещениях в процессе потребления физическими лицами, а также товары, утратившие свои потребительские свойства. К ним также относятся отходы, образующиеся в процессе деятельности юридических лиц, индивидуальных предпринимателей, подобные по составу отходам, которые образуются в жилых помещениях в процессе потребления физическими лицами.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С 1 января 2019 года услуга по вывозу ТКО перейдет из статуса «жилищной» в статус «коммунальной» (ч. 4 ст. 154 ЖК РФ), вступит в действие институт регионального оператора (далее – </w:t>
      </w:r>
      <w:proofErr w:type="spellStart"/>
      <w:r>
        <w:rPr>
          <w:rFonts w:ascii="Georgia" w:hAnsi="Georgia"/>
          <w:color w:val="444444"/>
          <w:sz w:val="21"/>
          <w:szCs w:val="21"/>
        </w:rPr>
        <w:t>регоператор</w:t>
      </w:r>
      <w:proofErr w:type="spellEnd"/>
      <w:r>
        <w:rPr>
          <w:rFonts w:ascii="Georgia" w:hAnsi="Georgia"/>
          <w:color w:val="444444"/>
          <w:sz w:val="21"/>
          <w:szCs w:val="21"/>
        </w:rPr>
        <w:t>) по обращению с твердыми коммунальными отходами.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Республика Башкортостан разделена на 5 зон, в каждой из которых на основании конкурсного отбора, проведенного Министерством природопользования и экологии Республики Башкортостан, был выбран свой </w:t>
      </w:r>
      <w:proofErr w:type="spellStart"/>
      <w:r>
        <w:rPr>
          <w:rFonts w:ascii="Georgia" w:hAnsi="Georgia"/>
          <w:color w:val="444444"/>
          <w:sz w:val="21"/>
          <w:szCs w:val="21"/>
        </w:rPr>
        <w:t>регоператор</w:t>
      </w:r>
      <w:proofErr w:type="spellEnd"/>
      <w:r>
        <w:rPr>
          <w:rFonts w:ascii="Georgia" w:hAnsi="Georgia"/>
          <w:color w:val="444444"/>
          <w:sz w:val="21"/>
          <w:szCs w:val="21"/>
        </w:rPr>
        <w:t>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Зона № 1 – МУП «</w:t>
      </w:r>
      <w:proofErr w:type="spellStart"/>
      <w:r>
        <w:rPr>
          <w:rFonts w:ascii="Georgia" w:hAnsi="Georgia"/>
          <w:color w:val="444444"/>
          <w:sz w:val="21"/>
          <w:szCs w:val="21"/>
        </w:rPr>
        <w:t>Спецавтохозяйство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по уборке города» городского округа город Уфа Республики Башкортостан (городской округ г. Уфа, муниципальные районы Архангельский, </w:t>
      </w:r>
      <w:proofErr w:type="spellStart"/>
      <w:r>
        <w:rPr>
          <w:rFonts w:ascii="Georgia" w:hAnsi="Georgia"/>
          <w:color w:val="444444"/>
          <w:sz w:val="21"/>
          <w:szCs w:val="21"/>
        </w:rPr>
        <w:t>Белокатайский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Благоварский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Благовещенский, </w:t>
      </w:r>
      <w:proofErr w:type="spellStart"/>
      <w:r>
        <w:rPr>
          <w:rFonts w:ascii="Georgia" w:hAnsi="Georgia"/>
          <w:color w:val="444444"/>
          <w:sz w:val="21"/>
          <w:szCs w:val="21"/>
        </w:rPr>
        <w:t>Дуванский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Иглинский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Кармаскалинский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Кигинский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Кушнаренковский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Мечетлинский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Нуримановский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Салаватский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Уфимский, </w:t>
      </w:r>
      <w:proofErr w:type="spellStart"/>
      <w:r>
        <w:rPr>
          <w:rFonts w:ascii="Georgia" w:hAnsi="Georgia"/>
          <w:color w:val="444444"/>
          <w:sz w:val="21"/>
          <w:szCs w:val="21"/>
        </w:rPr>
        <w:t>Чишминский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районы).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Зона № 2– ООО «</w:t>
      </w:r>
      <w:proofErr w:type="spellStart"/>
      <w:r>
        <w:rPr>
          <w:rFonts w:ascii="Georgia" w:hAnsi="Georgia"/>
          <w:color w:val="444444"/>
          <w:sz w:val="21"/>
          <w:szCs w:val="21"/>
        </w:rPr>
        <w:t>Дюртюлимелиоводстрой</w:t>
      </w:r>
      <w:proofErr w:type="spellEnd"/>
      <w:r>
        <w:rPr>
          <w:rFonts w:ascii="Georgia" w:hAnsi="Georgia"/>
          <w:color w:val="444444"/>
          <w:sz w:val="21"/>
          <w:szCs w:val="21"/>
        </w:rPr>
        <w:t>» (городские округа города</w:t>
      </w:r>
      <w:proofErr w:type="gramStart"/>
      <w:r>
        <w:rPr>
          <w:rFonts w:ascii="Georgia" w:hAnsi="Georgia"/>
          <w:color w:val="444444"/>
          <w:sz w:val="21"/>
          <w:szCs w:val="21"/>
        </w:rPr>
        <w:t xml:space="preserve"> .</w:t>
      </w:r>
      <w:proofErr w:type="spellStart"/>
      <w:proofErr w:type="gramEnd"/>
      <w:r>
        <w:rPr>
          <w:rFonts w:ascii="Georgia" w:hAnsi="Georgia"/>
          <w:color w:val="444444"/>
          <w:sz w:val="21"/>
          <w:szCs w:val="21"/>
        </w:rPr>
        <w:t>Агидель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Нефтекамск, муниципальные районы </w:t>
      </w:r>
      <w:proofErr w:type="spellStart"/>
      <w:r>
        <w:rPr>
          <w:rFonts w:ascii="Georgia" w:hAnsi="Georgia"/>
          <w:color w:val="444444"/>
          <w:sz w:val="21"/>
          <w:szCs w:val="21"/>
        </w:rPr>
        <w:t>Аскинский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Балтачевский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Бирский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Бураевский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Дюртюлинский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Илишевский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Калтасинский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Караидельский, </w:t>
      </w:r>
      <w:proofErr w:type="spellStart"/>
      <w:r>
        <w:rPr>
          <w:rFonts w:ascii="Georgia" w:hAnsi="Georgia"/>
          <w:color w:val="444444"/>
          <w:sz w:val="21"/>
          <w:szCs w:val="21"/>
        </w:rPr>
        <w:t>Краснокамский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Мишкинский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Татышлинский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Янаульский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районы).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Зона № 3 – ООО РО «Эко-сити» (городские округа города Кумертау, Салават, Сибай, Стерлитамак; муниципальные районы </w:t>
      </w:r>
      <w:proofErr w:type="spellStart"/>
      <w:r>
        <w:rPr>
          <w:rFonts w:ascii="Georgia" w:hAnsi="Georgia"/>
          <w:color w:val="444444"/>
          <w:sz w:val="21"/>
          <w:szCs w:val="21"/>
        </w:rPr>
        <w:t>Абзелиловский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Аургазинский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Баймакский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Белорецкий, </w:t>
      </w:r>
      <w:proofErr w:type="spellStart"/>
      <w:r>
        <w:rPr>
          <w:rFonts w:ascii="Georgia" w:hAnsi="Georgia"/>
          <w:color w:val="444444"/>
          <w:sz w:val="21"/>
          <w:szCs w:val="21"/>
        </w:rPr>
        <w:t>Бурзянский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Гафурийский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Зианчуринский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Стерлибашевский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Зилаирский, </w:t>
      </w:r>
      <w:proofErr w:type="spellStart"/>
      <w:r>
        <w:rPr>
          <w:rFonts w:ascii="Georgia" w:hAnsi="Georgia"/>
          <w:color w:val="444444"/>
          <w:sz w:val="21"/>
          <w:szCs w:val="21"/>
        </w:rPr>
        <w:t>Ишимбайский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Кугарчинский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Куюргазинский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Мелеузовский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Миякинский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Стерлитамакский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Учалинский, Федоровский, </w:t>
      </w:r>
      <w:proofErr w:type="spellStart"/>
      <w:r>
        <w:rPr>
          <w:rFonts w:ascii="Georgia" w:hAnsi="Georgia"/>
          <w:color w:val="444444"/>
          <w:sz w:val="21"/>
          <w:szCs w:val="21"/>
        </w:rPr>
        <w:t>Хайбуллинский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районы).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Зона № 4 – ООО «Экология</w:t>
      </w:r>
      <w:proofErr w:type="gramStart"/>
      <w:r>
        <w:rPr>
          <w:rFonts w:ascii="Georgia" w:hAnsi="Georgia"/>
          <w:color w:val="444444"/>
          <w:sz w:val="21"/>
          <w:szCs w:val="21"/>
        </w:rPr>
        <w:t xml:space="preserve"> 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» (городской округ город Октябрьский, муниципальные районы </w:t>
      </w:r>
      <w:proofErr w:type="spellStart"/>
      <w:r>
        <w:rPr>
          <w:rFonts w:ascii="Georgia" w:hAnsi="Georgia"/>
          <w:color w:val="444444"/>
          <w:sz w:val="21"/>
          <w:szCs w:val="21"/>
        </w:rPr>
        <w:t>Альшеевский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Бакалинский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Белебеевский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Бижбулякский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Буздякский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Давлекановский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Ермекеевский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Туймазинский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Чекмагушевский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Шаранский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район).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Зона № 4+ – ООО «</w:t>
      </w:r>
      <w:proofErr w:type="spellStart"/>
      <w:r>
        <w:rPr>
          <w:rFonts w:ascii="Georgia" w:hAnsi="Georgia"/>
          <w:color w:val="444444"/>
          <w:sz w:val="21"/>
          <w:szCs w:val="21"/>
        </w:rPr>
        <w:t>Дюртюлимелиоводстрой</w:t>
      </w:r>
      <w:proofErr w:type="spellEnd"/>
      <w:r>
        <w:rPr>
          <w:rFonts w:ascii="Georgia" w:hAnsi="Georgia"/>
          <w:color w:val="444444"/>
          <w:sz w:val="21"/>
          <w:szCs w:val="21"/>
        </w:rPr>
        <w:t>» (закрытый автономный территориальный округ г. Межгорье).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Чем занимается региональный оператор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lastRenderedPageBreak/>
        <w:t xml:space="preserve">Региональный оператор по обращению с ТКО – организация, которая обязана заключить договор на оказание услуг по обращению с ТКО с собственником отходов, которые проживают в зоне ее деятельности. </w:t>
      </w:r>
      <w:proofErr w:type="spellStart"/>
      <w:r>
        <w:rPr>
          <w:rFonts w:ascii="Georgia" w:hAnsi="Georgia"/>
          <w:color w:val="444444"/>
          <w:sz w:val="21"/>
          <w:szCs w:val="21"/>
        </w:rPr>
        <w:t>Регоператор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занимается сбором, транспортировкой, обработкой, утилизацией, обезвреживанием, захоронением ТКО. Делать это он может не только самостоятельно, но и с привлечением операторов по обращению с ТКО.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proofErr w:type="spellStart"/>
      <w:r>
        <w:rPr>
          <w:rFonts w:ascii="Georgia" w:hAnsi="Georgia"/>
          <w:color w:val="444444"/>
          <w:sz w:val="21"/>
          <w:szCs w:val="21"/>
        </w:rPr>
        <w:t>Регоператор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отвечает за весь цикл обращения с ТКО: сбор – транспортировку – обработку – захоронение. Его услуги оплачивает собственник твёрдых коммунальных отходов.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По договору на оказание услуг </w:t>
      </w:r>
      <w:proofErr w:type="spellStart"/>
      <w:r>
        <w:rPr>
          <w:rFonts w:ascii="Georgia" w:hAnsi="Georgia"/>
          <w:color w:val="444444"/>
          <w:sz w:val="21"/>
          <w:szCs w:val="21"/>
        </w:rPr>
        <w:t>регоператор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обязуется принимать ТКО в объеме и в местах, которые в нем определены, и обеспечивать их сбор, транспортирование, обработку, обезвреживание, захоронение в соответствии с законодательством Российской Федерации.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Ответственность за обращение с ТКО появляется у </w:t>
      </w:r>
      <w:proofErr w:type="spellStart"/>
      <w:r>
        <w:rPr>
          <w:rFonts w:ascii="Georgia" w:hAnsi="Georgia"/>
          <w:color w:val="444444"/>
          <w:sz w:val="21"/>
          <w:szCs w:val="21"/>
        </w:rPr>
        <w:t>регоператора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с момента их погрузки в мусоровоз в местах сбора и накопления.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Обязанность по созданию контейнерных площадок возложена на органы местного самоуправления Постановлением Правительства Российской Федерации от</w:t>
      </w:r>
      <w:r>
        <w:rPr>
          <w:rFonts w:ascii="Georgia" w:hAnsi="Georgia"/>
          <w:color w:val="444444"/>
          <w:sz w:val="21"/>
          <w:szCs w:val="21"/>
        </w:rPr>
        <w:br/>
        <w:t>31 августа 2018 года № 1039. Также администрации ведут реестр мест (площадок) накопления ТКО и размещают информацию о внесении или изменении данных в этом реестре в сети «Интернет».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Контейнерную площадку содержит собственник земельного участка, на котором она установлена. Это регламентировано п. 13 Постановления Правительства Российской Федерации от 12 ноября 2016 года № 1156. Собственниками контейнерных площадок могут быть управляющие организации, ТСЖ и муниципалитеты. Если контейнерная площадка </w:t>
      </w:r>
      <w:proofErr w:type="gramStart"/>
      <w:r>
        <w:rPr>
          <w:rFonts w:ascii="Georgia" w:hAnsi="Georgia"/>
          <w:color w:val="444444"/>
          <w:sz w:val="21"/>
          <w:szCs w:val="21"/>
        </w:rPr>
        <w:t>относится к общему имуществу в МКД и находится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на его 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</w:t>
      </w:r>
      <w:proofErr w:type="gramStart"/>
      <w:r>
        <w:rPr>
          <w:rFonts w:ascii="Georgia" w:hAnsi="Georgia"/>
          <w:color w:val="444444"/>
          <w:sz w:val="21"/>
          <w:szCs w:val="21"/>
        </w:rPr>
        <w:t>ремонтирует и содержит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местная администрация.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Региональный оператор также участвует в ликвидации несанкционированных свалок.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Где и как заключить договор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С 1 января 2019 года все граждане, проживающие в многоквартирных домах, частном секторе,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Все ранее заключенные договора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Граждане могут заключить договор путем конклюдентных действий. Это значит, что потребитель должен платить за обращение с ТКО региональному оператору по его квитанциям, вступив в договорные отношения, что называется, по факту.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Форма типового договора на оказание услуг по обращению с ТКО утверждена постановлением Правительства РФ №1156 от 11.12.2016. В нем предусмотрено определение объема, места сбора и накопления ТКО, в том числе </w:t>
      </w:r>
      <w:proofErr w:type="gramStart"/>
      <w:r>
        <w:rPr>
          <w:rFonts w:ascii="Georgia" w:hAnsi="Georgia"/>
          <w:color w:val="444444"/>
          <w:sz w:val="21"/>
          <w:szCs w:val="21"/>
        </w:rPr>
        <w:t>крупногабаритных</w:t>
      </w:r>
      <w:proofErr w:type="gramEnd"/>
      <w:r>
        <w:rPr>
          <w:rFonts w:ascii="Georgia" w:hAnsi="Georgia"/>
          <w:color w:val="444444"/>
          <w:sz w:val="21"/>
          <w:szCs w:val="21"/>
        </w:rPr>
        <w:t>, способ складирования, периодичность вывоза.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Оплата за вывоз ТКО начисляется в зависимости от числа человек, проживающих (прописанных) в квартире или 5 индивидуальном жилом доме, согласно тарифу и нормативу накопления. Нормативы накопления утверждены постановлением Правительства Республики Башкортостан от 12 октября 2017 года № 466. Согласно нормативам, норма накопления ТКО на 1 человека составляет 1,92 м3/год в многоквартирном доме и 1,95 м 3/год – в индивидуальном жилье.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Требования к складированию ТКО для потребителей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Потребители обязаны собирать ТКО в местах, определённых схемой обращения с отходами. В договоре на оказание услуг по обращению с ТКО, заключённом с региональным оператором, должен быть указан способ складирования ТКО.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В соответствии с ним потребители собирают отходы одним из следующих способов: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– контейнеры мусороприёмных камер, если это предусмотрено внутридомовой инженерной системой;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– ёмкости на контейнерных площадках;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– пакеты, мешки или другие специально предназначенные емкости, отвечающие требованиям, установленным региональным оператором.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Крупногабаритный отход – мебель, техника и др. – собирается в бункерах или на специальных площадках, предназначенных для этих целей.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В контейнерах нельзя собирать горячие отходы, снег и лёд, ртутьсодержащие лампы, батареи и аккумуляторы, отходы, которые могут причинить вред жизни и здоровью, повредить мусороприёмную технику. Потребителям запрещено устраивать незаконные свалки и собирать ТКО вне контейнеров.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Важно помнить об ответственности: если региональный оператор обнаружит несанкционированное место сбора отходов, объёмом 1 кубический метр, он вправе уведомить </w:t>
      </w:r>
      <w:r>
        <w:rPr>
          <w:color w:val="444444"/>
          <w:sz w:val="21"/>
          <w:szCs w:val="21"/>
        </w:rPr>
        <w:t>ᴏ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нарушении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орган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государственного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экологического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контроля</w:t>
      </w:r>
      <w:r>
        <w:rPr>
          <w:rFonts w:ascii="Georgia" w:hAnsi="Georgia"/>
          <w:color w:val="444444"/>
          <w:sz w:val="21"/>
          <w:szCs w:val="21"/>
        </w:rPr>
        <w:t xml:space="preserve">. </w:t>
      </w:r>
      <w:r>
        <w:rPr>
          <w:rFonts w:ascii="Georgia" w:hAnsi="Georgia" w:cs="Georgia"/>
          <w:color w:val="444444"/>
          <w:sz w:val="21"/>
          <w:szCs w:val="21"/>
        </w:rPr>
        <w:t>За</w:t>
      </w:r>
      <w:r>
        <w:rPr>
          <w:rFonts w:ascii="Georgia" w:hAnsi="Georgia"/>
          <w:color w:val="444444"/>
          <w:sz w:val="21"/>
          <w:szCs w:val="21"/>
        </w:rPr>
        <w:t xml:space="preserve"> 30 </w:t>
      </w:r>
      <w:r>
        <w:rPr>
          <w:rFonts w:ascii="Georgia" w:hAnsi="Georgia" w:cs="Georgia"/>
          <w:color w:val="444444"/>
          <w:sz w:val="21"/>
          <w:szCs w:val="21"/>
        </w:rPr>
        <w:t>дней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собственник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земельного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участка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должен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ликвидировать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свалку</w:t>
      </w:r>
      <w:r>
        <w:rPr>
          <w:rFonts w:ascii="Georgia" w:hAnsi="Georgia"/>
          <w:color w:val="444444"/>
          <w:sz w:val="21"/>
          <w:szCs w:val="21"/>
        </w:rPr>
        <w:t xml:space="preserve">. </w:t>
      </w:r>
      <w:r>
        <w:rPr>
          <w:rFonts w:ascii="Georgia" w:hAnsi="Georgia" w:cs="Georgia"/>
          <w:color w:val="444444"/>
          <w:sz w:val="21"/>
          <w:szCs w:val="21"/>
        </w:rPr>
        <w:t>Если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он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не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предпримет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никаких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 w:cs="Georgia"/>
          <w:color w:val="444444"/>
          <w:sz w:val="21"/>
          <w:szCs w:val="21"/>
        </w:rPr>
        <w:t>действий</w:t>
      </w:r>
      <w:r>
        <w:rPr>
          <w:rFonts w:ascii="Georgia" w:hAnsi="Georgia"/>
          <w:color w:val="444444"/>
          <w:sz w:val="21"/>
          <w:szCs w:val="21"/>
        </w:rPr>
        <w:t xml:space="preserve">, </w:t>
      </w:r>
      <w:r>
        <w:rPr>
          <w:rFonts w:ascii="Georgia" w:hAnsi="Georgia" w:cs="Georgia"/>
          <w:color w:val="444444"/>
          <w:sz w:val="21"/>
          <w:szCs w:val="21"/>
        </w:rPr>
        <w:t>свалку</w:t>
      </w:r>
      <w:r>
        <w:rPr>
          <w:rFonts w:ascii="Georgia" w:hAnsi="Georgia"/>
          <w:color w:val="444444"/>
          <w:sz w:val="21"/>
          <w:szCs w:val="21"/>
        </w:rPr>
        <w:t xml:space="preserve"> 6 убирает региональный оператор, после чего обращается в суд за возмещением убытков. Таким образом, переход на новую систему обращения с ТКО приведет к тому, что жителям не надо будет думать о том, куда деть свои отходы, где найти машину, чтобы его вывезти. Он сможет просто вынести его в специально отведенное для этого место.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Вопросы-ответы о деятельности регионального оператора по обращению с твердыми коммунальными отходами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На основании чего региональный оператор по обращению с ТКО осуществляет свою деятельность?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оператором: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– территориальной схемой обращения с отходами, утвержденной Постановлением Правительства Республики Башкортостан;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– в соответствии с Правилами обращения с твердыми коммунальными отходами, утвержденными Правительством Российской Федерации.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Кто должен заключать договор с региональным оператором по обращению с ТКО?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Договор на оказание услуг по обращению с ТКО обязаны заключить собственники твердых коммунальных отходов, которые </w:t>
      </w:r>
      <w:proofErr w:type="gramStart"/>
      <w:r>
        <w:rPr>
          <w:rFonts w:ascii="Georgia" w:hAnsi="Georgia"/>
          <w:color w:val="444444"/>
          <w:sz w:val="21"/>
          <w:szCs w:val="21"/>
        </w:rPr>
        <w:t>образуются и места сбора которых находятся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в зоне деятельности регионального оператора.*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Собственники ТКО – это: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– собственники помещений в многоквартирных домах;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– собственники частных домовладений (индивидуального жилья) 7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– юридические лица и индивидуальные предприниматели (в том числе хозяйствующие субъекты и хозяйственные товарищества, например; садовые товарищества, гаражные кооперативы), в результате деятельности которых образуются ТКО.**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Нормативные ссылки: * ст.1 Федерального закона от 24.06.1998 № 89-ФЗ «Об отходах производства и потребления» ** ст.1, п.1 ст.24.7 Федерального закона от 24.06.1998 № 89-ФЗ «Об отходах производства и потребления», Жилищный кодекс Российской Федерации от 29.12.2004 (ст.30, ст. 161, ст.164 и др.).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color w:val="444444"/>
          <w:sz w:val="21"/>
          <w:szCs w:val="21"/>
          <w:bdr w:val="none" w:sz="0" w:space="0" w:color="auto" w:frame="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На основании чего устанавливается стоимость услуг регионального оператора ТКО?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Предельные тарифы на осуществление деятельности в области обращения с ТКО для регионального оператора устанавливаются уполномоченным органом исполнительной власти. В Республике Башкортостан – это Государственный комитет по тарифам.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Нормативные ссылки: * ст.24.8 Федерального закона от 24.06.1998 № 89-ФЗ «Об отходах производства и потребления»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Как будет начисляться оплата за ТКО?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Оплата за ТКО начисляется в зависимости от численности человек, проживающих (прописанных) в квартире (индивидуальном жилом доме).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Нормативные ссылки: *Федеральный закон от 29.12.2014 года № 458-ФЗ «Об отходах производства и потребления», Жилищный кодекс Российской Федерации от 29.12.2004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На каком основании плата региональному оператору ТКО вынесена в отдельную строку и взымается как за коммунальные услуги?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Графа коммунальные услуги включает в себя плату за холодную и горячую воду, электроэнергию, тепло,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отходами.*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Нормативные ссылки: *Пункты 4,5 статьи 154 Жилищного кодекса Российской Федерации от 29.12.2004 8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Должны ли жители частных домовладений (частного сектора) заключать договор с региональным оператором ТКО?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Собственник жилого дома или части жилого дома обязан обеспечивать обращение с твердыми коммунальными отход</w:t>
      </w:r>
      <w:proofErr w:type="gramStart"/>
      <w:r>
        <w:rPr>
          <w:rFonts w:ascii="Georgia" w:hAnsi="Georgia"/>
          <w:color w:val="444444"/>
          <w:sz w:val="21"/>
          <w:szCs w:val="21"/>
        </w:rPr>
        <w:t>а-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ми путем заключения договора с региональным оператором по обращению с ТКО.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Нормативные ссылки: *Пункт 5 статьи 30 Жилищного кодекса Российской Федерации от 29.12.2004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Что обязаны делать собственники ТКО после выбора регионального оператора?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Собственник ТКО обязан: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– заключить с региональным оператором договор на оказание услуг по обращению с ТКО;*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– оплачивать услуги регионального оператора по цене, установленной по единому тарифу на услугу регионального оператора.**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Нормативные ссылки: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* ст.1, п.1 ст.24.7 Федерального закона от 24.06.1998 № 89-ФЗ «Об отходах производства и потребления», Жилищный кодекс РФ (ст.30, ст. 161, ст.164 и др.).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** п.2 ст.24.7 Федерального закона от 24.06.1998 № 89-ФЗ «Об отходах производства и потребления»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 xml:space="preserve">Если у физических лиц, либо юридического лица уже </w:t>
      </w:r>
      <w:proofErr w:type="gramStart"/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заключен и имеется</w:t>
      </w:r>
      <w:proofErr w:type="gramEnd"/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 xml:space="preserve"> действующий договор на вывоз ТКО, должен ли заключаться договор с </w:t>
      </w:r>
      <w:proofErr w:type="spellStart"/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регоператором</w:t>
      </w:r>
      <w:proofErr w:type="spellEnd"/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?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С 1 января 2019 года обращение с ТКО осуществляется только региональным оператором.* Договоры, заключенные собственниками твердых коммунальных отходов на сбор и вывоз ТКО, действуют до заключения договора с </w:t>
      </w:r>
      <w:proofErr w:type="spellStart"/>
      <w:r>
        <w:rPr>
          <w:rFonts w:ascii="Georgia" w:hAnsi="Georgia"/>
          <w:color w:val="444444"/>
          <w:sz w:val="21"/>
          <w:szCs w:val="21"/>
        </w:rPr>
        <w:t>регоператором</w:t>
      </w:r>
      <w:proofErr w:type="spellEnd"/>
      <w:r>
        <w:rPr>
          <w:rFonts w:ascii="Georgia" w:hAnsi="Georgia"/>
          <w:color w:val="444444"/>
          <w:sz w:val="21"/>
          <w:szCs w:val="21"/>
        </w:rPr>
        <w:t>.**, но не позднее 1 января 2019 года. Собственники твердых коммунальных отходов обязаны заключить договор на оказание услуг по обращению с ТКО, который осуществляет деятельность в зоне их проживания.***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Нормативные ссылки: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*ст. 24.6 Федерального закона 24.06.1998 № 89-ФЗ «Об отходах производства и потребления» ** п. 6 ст. 23 Федерального закона от 2.12.2014 № 458-ФЗ ***ст.1, п.1 ст.24.7 Федерального закона от 24.06.1998 № 89-ФЗ «Об отходах производства и потребления» 9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Кто должен содержать контейнерные площадки?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proofErr w:type="gramStart"/>
      <w:r>
        <w:rPr>
          <w:rFonts w:ascii="Georgia" w:hAnsi="Georgia"/>
          <w:color w:val="444444"/>
          <w:sz w:val="21"/>
          <w:szCs w:val="21"/>
        </w:rPr>
        <w:t>Контейнерные площадки, специальные площадки для крупногабаритных отходов и территорию, прилегающую к месту погрузки ТКО, которые находятся на придомовой территории, входящей в состав общего имущества, содержат собственники помещений в многоквартирных домах (МКД)*. Если перечисленные объекты не входят в состав общего имущества в МКД, то их содержат собственники земельного участка, на котором расположены такие площадки и территория.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Ответственность регионального оператора возникает с момента погрузки ТКО в мусоровоз.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Нормативная ссылка: * п. 13 Правил обращения с ТКО, которые утвердило Постановление Правительства РФ от 12.11.2016 N 1156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Должны ли заключать договор на вывоз ТКО садоводческое, огородническое или дачное некоммерческое объединение граждан, гаражные кооперативы?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Под обязанность заключить договор с региональным оператором подпадают все организации, у которых образуются твердые коммунальные отходы, в том числе и садоводческие товарищества, гаражные кооперативы. Соответственно между </w:t>
      </w:r>
      <w:proofErr w:type="spellStart"/>
      <w:r>
        <w:rPr>
          <w:rFonts w:ascii="Georgia" w:hAnsi="Georgia"/>
          <w:color w:val="444444"/>
          <w:sz w:val="21"/>
          <w:szCs w:val="21"/>
        </w:rPr>
        <w:t>регоператором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и садоводческими товариществами, гаражными кооперативами должны заключаться договоры на оказание услуг по обращению с твердыми коммунальными отходами. У меня в квартире никто не прописан.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Нужно ли платить за вывоз ТКО?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Да, нужно. Если в квартире никто не </w:t>
      </w:r>
      <w:proofErr w:type="gramStart"/>
      <w:r>
        <w:rPr>
          <w:rFonts w:ascii="Georgia" w:hAnsi="Georgia"/>
          <w:color w:val="444444"/>
          <w:sz w:val="21"/>
          <w:szCs w:val="21"/>
        </w:rPr>
        <w:t>прописан и временно не зарегистрирован</w:t>
      </w:r>
      <w:proofErr w:type="gramEnd"/>
      <w:r>
        <w:rPr>
          <w:rFonts w:ascii="Georgia" w:hAnsi="Georgia"/>
          <w:color w:val="444444"/>
          <w:sz w:val="21"/>
          <w:szCs w:val="21"/>
        </w:rPr>
        <w:t>, начислять плату за обращение с ТКО будут от количества собственников квартиры (п.148(36) ПП №354). Не проживание в квартире не освобождает от обязанности платить за коммунальные услуги, но иногда позволяет сделать перерасчет платы за ТКО в связи с временным отсутствием.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06124" w:rsidRDefault="00B06124" w:rsidP="00B0612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Можно ли не платить за вывоз ТКО, если его у меня нет (</w:t>
      </w:r>
      <w:proofErr w:type="gramStart"/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>закапываю на своем участке и сжигаю</w:t>
      </w:r>
      <w:proofErr w:type="gramEnd"/>
      <w:r>
        <w:rPr>
          <w:rStyle w:val="a5"/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 xml:space="preserve"> сам)?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Для собственников жилых домов заключение договоров 10 на услуги по обращению с ТКО обязательно. Накапливать твердые коммунальные отходы можно только в специально оборудованных местах. Такие площадки должны отвечать требованиям по охране окружающей среды и </w:t>
      </w:r>
      <w:proofErr w:type="spellStart"/>
      <w:r>
        <w:rPr>
          <w:rFonts w:ascii="Georgia" w:hAnsi="Georgia"/>
          <w:color w:val="444444"/>
          <w:sz w:val="21"/>
          <w:szCs w:val="21"/>
        </w:rPr>
        <w:t>санэпидемнормам</w:t>
      </w:r>
      <w:proofErr w:type="spellEnd"/>
      <w:r>
        <w:rPr>
          <w:rFonts w:ascii="Georgia" w:hAnsi="Georgia"/>
          <w:color w:val="444444"/>
          <w:sz w:val="21"/>
          <w:szCs w:val="21"/>
        </w:rPr>
        <w:t>. Сжигать отходы без специального оборудования, которое очищает выбросы, запрещено. К тому же для обращения с отходами I-IV классов опасности требуется наличие лицензии. За нарушение всех этих правил могут собственника дома или земельного участка привлечь к ответственности. Пожалуй, проще все-таки заключить договор с региональным оператором.</w:t>
      </w:r>
    </w:p>
    <w:p w:rsidR="00B06124" w:rsidRDefault="00B06124" w:rsidP="00B0612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8B201B" w:rsidRDefault="008B201B"/>
    <w:sectPr w:rsidR="008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C5"/>
    <w:rsid w:val="003A01C5"/>
    <w:rsid w:val="0055012B"/>
    <w:rsid w:val="008B201B"/>
    <w:rsid w:val="00A415EE"/>
    <w:rsid w:val="00B06124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124"/>
    <w:rPr>
      <w:b/>
      <w:bCs/>
    </w:rPr>
  </w:style>
  <w:style w:type="character" w:styleId="a5">
    <w:name w:val="Emphasis"/>
    <w:basedOn w:val="a0"/>
    <w:uiPriority w:val="20"/>
    <w:qFormat/>
    <w:rsid w:val="00B061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124"/>
    <w:rPr>
      <w:b/>
      <w:bCs/>
    </w:rPr>
  </w:style>
  <w:style w:type="character" w:styleId="a5">
    <w:name w:val="Emphasis"/>
    <w:basedOn w:val="a0"/>
    <w:uiPriority w:val="20"/>
    <w:qFormat/>
    <w:rsid w:val="00B06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2019-02-25T11:01:00Z</dcterms:created>
  <dcterms:modified xsi:type="dcterms:W3CDTF">2019-02-25T11:01:00Z</dcterms:modified>
</cp:coreProperties>
</file>